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64DAB87B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28AD512E" w14:textId="1A2B2A68" w:rsidR="00CC7242" w:rsidRPr="00CC7242" w:rsidRDefault="00CC724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a variety of different soccer balls (size, material, weight, colors, etc.). Allow students to explore and choose from the options.</w:t>
            </w:r>
          </w:p>
          <w:p w14:paraId="0B18155E" w14:textId="33411373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 to help students maintain safe distances from their peers.</w:t>
            </w:r>
          </w:p>
          <w:p w14:paraId="19CF8ABC" w14:textId="2D970597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Use different colored cones or spots to identify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>activity and lap areas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7058082" w14:textId="15BE4999" w:rsidR="002D663F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travel routes.</w:t>
            </w:r>
          </w:p>
        </w:tc>
        <w:tc>
          <w:tcPr>
            <w:tcW w:w="2337" w:type="dxa"/>
          </w:tcPr>
          <w:p w14:paraId="019E1086" w14:textId="664CF20D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</w:t>
            </w:r>
            <w:r w:rsidR="008705F3">
              <w:rPr>
                <w:rFonts w:ascii="Arial" w:hAnsi="Arial" w:cs="Arial"/>
                <w:color w:val="000000"/>
                <w:sz w:val="22"/>
                <w:szCs w:val="22"/>
              </w:rPr>
              <w:t xml:space="preserve"> directions and expectations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60B00026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allow different </w:t>
            </w:r>
            <w:r w:rsidR="00CC7242">
              <w:rPr>
                <w:rFonts w:ascii="Arial" w:hAnsi="Arial" w:cs="Arial"/>
                <w:color w:val="000000"/>
                <w:sz w:val="22"/>
                <w:szCs w:val="22"/>
              </w:rPr>
              <w:t>dribbling and passing</w:t>
            </w:r>
            <w:r w:rsidR="008705F3">
              <w:rPr>
                <w:rFonts w:ascii="Arial" w:hAnsi="Arial" w:cs="Arial"/>
                <w:color w:val="000000"/>
                <w:sz w:val="22"/>
                <w:szCs w:val="22"/>
              </w:rPr>
              <w:t xml:space="preserve"> alternatives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91FF24B" w14:textId="0722B18E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Adapt body positioning to student needs. For example, modify the </w:t>
            </w:r>
            <w:r w:rsidR="008705F3">
              <w:rPr>
                <w:rFonts w:ascii="Arial" w:hAnsi="Arial" w:cs="Arial"/>
                <w:color w:val="000000"/>
                <w:sz w:val="22"/>
                <w:szCs w:val="22"/>
              </w:rPr>
              <w:t>activity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 xml:space="preserve">move while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sitting, lying, or prone.</w:t>
            </w:r>
          </w:p>
        </w:tc>
        <w:tc>
          <w:tcPr>
            <w:tcW w:w="2338" w:type="dxa"/>
          </w:tcPr>
          <w:p w14:paraId="4D590E5E" w14:textId="4C482EB2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Visually mark/define space in </w:t>
            </w:r>
            <w:r w:rsidR="00733CD8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activity area with visual markers like cones, spot markers, visual signs/cues.</w:t>
            </w:r>
          </w:p>
          <w:p w14:paraId="73DA3345" w14:textId="5CA9DE60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1D425" w14:textId="77777777" w:rsidR="00312DE7" w:rsidRDefault="00312DE7" w:rsidP="00DF495A">
      <w:r>
        <w:separator/>
      </w:r>
    </w:p>
  </w:endnote>
  <w:endnote w:type="continuationSeparator" w:id="0">
    <w:p w14:paraId="25A27751" w14:textId="77777777" w:rsidR="00312DE7" w:rsidRDefault="00312DE7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5E40F" w14:textId="77777777" w:rsidR="00312DE7" w:rsidRDefault="00312DE7" w:rsidP="00DF495A">
      <w:r>
        <w:separator/>
      </w:r>
    </w:p>
  </w:footnote>
  <w:footnote w:type="continuationSeparator" w:id="0">
    <w:p w14:paraId="04875376" w14:textId="77777777" w:rsidR="00312DE7" w:rsidRDefault="00312DE7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9B3E021">
          <wp:simplePos x="0" y="0"/>
          <wp:positionH relativeFrom="margin">
            <wp:posOffset>-426720</wp:posOffset>
          </wp:positionH>
          <wp:positionV relativeFrom="margin">
            <wp:posOffset>-406400</wp:posOffset>
          </wp:positionV>
          <wp:extent cx="6812998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84442"/>
    <w:rsid w:val="00153E6B"/>
    <w:rsid w:val="00181778"/>
    <w:rsid w:val="002D663F"/>
    <w:rsid w:val="002F3092"/>
    <w:rsid w:val="00312DE7"/>
    <w:rsid w:val="005031B2"/>
    <w:rsid w:val="00542776"/>
    <w:rsid w:val="00696DF3"/>
    <w:rsid w:val="006B0C74"/>
    <w:rsid w:val="00733CD8"/>
    <w:rsid w:val="007A7C1B"/>
    <w:rsid w:val="008705F3"/>
    <w:rsid w:val="009233F1"/>
    <w:rsid w:val="00972DB1"/>
    <w:rsid w:val="009A4746"/>
    <w:rsid w:val="00A276B9"/>
    <w:rsid w:val="00B66027"/>
    <w:rsid w:val="00C50058"/>
    <w:rsid w:val="00CC7242"/>
    <w:rsid w:val="00CE2EF1"/>
    <w:rsid w:val="00D9682D"/>
    <w:rsid w:val="00DF495A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2020-08-02T06:02:00Z</dcterms:created>
  <dcterms:modified xsi:type="dcterms:W3CDTF">2021-02-23T00:05:00Z</dcterms:modified>
</cp:coreProperties>
</file>